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8322C7" w:rsidP="005D0621">
            <w:pPr>
              <w:rPr>
                <w:b/>
              </w:rPr>
            </w:pPr>
            <w:r>
              <w:rPr>
                <w:rStyle w:val="Firstpagetablebold"/>
              </w:rPr>
              <w:t>24 March 2016</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D1DFA" w:rsidP="004A6D2F">
            <w:pPr>
              <w:rPr>
                <w:rStyle w:val="Firstpagetablebold"/>
              </w:rPr>
            </w:pPr>
            <w:r w:rsidRPr="001356F1">
              <w:rPr>
                <w:rStyle w:val="Firstpagetablebold"/>
              </w:rPr>
              <w:t>Executive Director</w:t>
            </w:r>
            <w:r w:rsidR="008322C7">
              <w:rPr>
                <w:rStyle w:val="Firstpagetablebold"/>
              </w:rPr>
              <w:t>, Community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781F07" w:rsidP="004A6D2F">
            <w:pPr>
              <w:rPr>
                <w:rStyle w:val="Firstpagetablebold"/>
              </w:rPr>
            </w:pPr>
            <w:r>
              <w:t>Bid for refurbishment and extension of car park for a public sector body</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781F07" w:rsidP="00371E9C">
            <w:r>
              <w:t xml:space="preserve">To seek approval to </w:t>
            </w:r>
            <w:r w:rsidR="00371E9C">
              <w:t xml:space="preserve">enter into a contract </w:t>
            </w:r>
            <w:r>
              <w:t>for civil engineering works associated with the refurbishment and extension of a car park in Oxford for a public sector body</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66551D">
              <w:rPr>
                <w:color w:val="auto"/>
              </w:rPr>
              <w:t>No</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781F07" w:rsidP="005F7F7E">
            <w:r>
              <w:t>Councillor Ed Turner</w:t>
            </w:r>
            <w:r w:rsidR="00D5547E" w:rsidRPr="001356F1">
              <w:t xml:space="preserve">, </w:t>
            </w:r>
            <w:r>
              <w:rPr>
                <w:lang w:val="en"/>
              </w:rPr>
              <w:t>P</w:t>
            </w:r>
            <w:r w:rsidR="00047AEE">
              <w:rPr>
                <w:lang w:val="en"/>
              </w:rPr>
              <w:t>o</w:t>
            </w:r>
            <w:r>
              <w:rPr>
                <w:lang w:val="en"/>
              </w:rPr>
              <w:t>rtfolio for Finance, Asset Management and Public Health</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09717E" w:rsidP="005F7F7E">
            <w:r>
              <w:t>An Effective and Efficient Council</w:t>
            </w:r>
            <w:r w:rsidR="0080749A"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09717E" w:rsidP="005F7F7E">
            <w:r>
              <w:t>Corporate Plan</w:t>
            </w:r>
            <w:r w:rsidR="00D5547E" w:rsidRPr="001356F1">
              <w:t>.</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4A6D2F">
            <w:r>
              <w:rPr>
                <w:rStyle w:val="Firstpagetablebold"/>
              </w:rPr>
              <w:t>Recommendation(s):</w:t>
            </w:r>
            <w:r w:rsidR="00A86753">
              <w:rPr>
                <w:rStyle w:val="Firstpagetablebold"/>
              </w:rPr>
              <w:t xml:space="preserve"> </w:t>
            </w:r>
            <w:r>
              <w:rPr>
                <w:rStyle w:val="Firstpagetablebold"/>
              </w:rPr>
              <w:t>That the City Executive Board resolves to:</w:t>
            </w:r>
          </w:p>
        </w:tc>
      </w:tr>
      <w:tr w:rsidR="0030208D" w:rsidRPr="00975B07" w:rsidTr="00E1734B">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781F07" w:rsidP="00371E9C">
            <w:r>
              <w:rPr>
                <w:rStyle w:val="Firstpagetablebold"/>
              </w:rPr>
              <w:t xml:space="preserve">Authorise the </w:t>
            </w:r>
            <w:r w:rsidR="00371E9C">
              <w:rPr>
                <w:rStyle w:val="Firstpagetablebold"/>
              </w:rPr>
              <w:t xml:space="preserve">entering into a contract </w:t>
            </w:r>
            <w:r w:rsidR="00047AEE">
              <w:rPr>
                <w:rStyle w:val="Firstpagetablebold"/>
              </w:rPr>
              <w:t>for civil engineering work referred to in this report.</w:t>
            </w:r>
          </w:p>
        </w:tc>
      </w:tr>
      <w:tr w:rsidR="0030208D" w:rsidRPr="00975B07" w:rsidTr="00E1734B">
        <w:trPr>
          <w:trHeight w:val="283"/>
        </w:trPr>
        <w:tc>
          <w:tcPr>
            <w:tcW w:w="426" w:type="dxa"/>
            <w:tcBorders>
              <w:top w:val="nil"/>
              <w:left w:val="single" w:sz="8" w:space="0" w:color="000000"/>
              <w:bottom w:val="single" w:sz="4" w:space="0" w:color="auto"/>
              <w:right w:val="nil"/>
            </w:tcBorders>
          </w:tcPr>
          <w:p w:rsidR="0030208D" w:rsidRPr="00975B07" w:rsidRDefault="00046D2B" w:rsidP="004A6D2F">
            <w:r w:rsidRPr="00975B07">
              <w:t>2.</w:t>
            </w:r>
          </w:p>
        </w:tc>
        <w:tc>
          <w:tcPr>
            <w:tcW w:w="8419" w:type="dxa"/>
            <w:gridSpan w:val="2"/>
            <w:tcBorders>
              <w:top w:val="nil"/>
              <w:left w:val="nil"/>
              <w:bottom w:val="single" w:sz="4" w:space="0" w:color="auto"/>
              <w:right w:val="single" w:sz="8" w:space="0" w:color="000000"/>
            </w:tcBorders>
            <w:shd w:val="clear" w:color="auto" w:fill="auto"/>
          </w:tcPr>
          <w:p w:rsidR="0030208D" w:rsidRPr="001356F1" w:rsidRDefault="00371E9C" w:rsidP="00D41A8A">
            <w:r>
              <w:rPr>
                <w:rStyle w:val="Firstpagetablebold"/>
              </w:rPr>
              <w:t xml:space="preserve">To note that the </w:t>
            </w:r>
            <w:r w:rsidR="00047AEE">
              <w:rPr>
                <w:rStyle w:val="Firstpagetablebold"/>
              </w:rPr>
              <w:t>contract</w:t>
            </w:r>
            <w:r>
              <w:rPr>
                <w:rStyle w:val="Firstpagetablebold"/>
              </w:rPr>
              <w:t xml:space="preserve"> will make</w:t>
            </w:r>
            <w:r w:rsidR="00047AEE">
              <w:rPr>
                <w:rStyle w:val="Firstpagetablebold"/>
              </w:rPr>
              <w:t xml:space="preserve"> a satisfactory contribution towards </w:t>
            </w:r>
            <w:r w:rsidR="00F61FD8">
              <w:rPr>
                <w:rStyle w:val="Firstpagetablebold"/>
              </w:rPr>
              <w:t>local</w:t>
            </w:r>
            <w:r w:rsidR="00047AEE">
              <w:rPr>
                <w:rStyle w:val="Firstpagetablebold"/>
              </w:rPr>
              <w:t xml:space="preserve"> overheads, as identified in the Not for Publication Annex attached.</w:t>
            </w:r>
          </w:p>
        </w:tc>
      </w:tr>
    </w:tbl>
    <w:p w:rsidR="00CE544A"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A86753" w:rsidRPr="00975B07" w:rsidTr="00A86753">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A86753" w:rsidRPr="00A86753" w:rsidRDefault="00A86753" w:rsidP="00F977A3">
            <w:pPr>
              <w:jc w:val="center"/>
              <w:rPr>
                <w:b/>
              </w:rPr>
            </w:pPr>
            <w:r w:rsidRPr="00745BF0">
              <w:rPr>
                <w:rStyle w:val="Firstpagetablebold"/>
              </w:rPr>
              <w:t>Appendices</w:t>
            </w:r>
          </w:p>
        </w:tc>
      </w:tr>
      <w:tr w:rsidR="00A86753" w:rsidRPr="001356F1" w:rsidTr="00A86753">
        <w:tc>
          <w:tcPr>
            <w:tcW w:w="2438" w:type="dxa"/>
            <w:tcBorders>
              <w:top w:val="single" w:sz="8" w:space="0" w:color="000000"/>
              <w:left w:val="single" w:sz="8" w:space="0" w:color="000000"/>
              <w:bottom w:val="nil"/>
              <w:right w:val="nil"/>
            </w:tcBorders>
            <w:shd w:val="clear" w:color="auto" w:fill="auto"/>
          </w:tcPr>
          <w:p w:rsidR="00A86753" w:rsidRPr="00975B07" w:rsidRDefault="00A86753" w:rsidP="00F977A3">
            <w:r w:rsidRPr="00975B07">
              <w:t>Appendix 1</w:t>
            </w:r>
          </w:p>
        </w:tc>
        <w:tc>
          <w:tcPr>
            <w:tcW w:w="6406" w:type="dxa"/>
            <w:tcBorders>
              <w:top w:val="single" w:sz="8" w:space="0" w:color="000000"/>
              <w:left w:val="nil"/>
              <w:bottom w:val="nil"/>
              <w:right w:val="single" w:sz="8" w:space="0" w:color="000000"/>
            </w:tcBorders>
            <w:shd w:val="clear" w:color="auto" w:fill="auto"/>
          </w:tcPr>
          <w:p w:rsidR="00A86753" w:rsidRPr="001356F1" w:rsidRDefault="00A86753" w:rsidP="00F977A3">
            <w:r>
              <w:t>Risk Register</w:t>
            </w:r>
          </w:p>
        </w:tc>
      </w:tr>
      <w:tr w:rsidR="00A86753" w:rsidRPr="001356F1" w:rsidTr="00A86753">
        <w:tc>
          <w:tcPr>
            <w:tcW w:w="2438" w:type="dxa"/>
            <w:tcBorders>
              <w:top w:val="nil"/>
              <w:left w:val="single" w:sz="8" w:space="0" w:color="000000"/>
              <w:bottom w:val="single" w:sz="4" w:space="0" w:color="auto"/>
              <w:right w:val="nil"/>
            </w:tcBorders>
            <w:shd w:val="clear" w:color="auto" w:fill="auto"/>
          </w:tcPr>
          <w:p w:rsidR="00A86753" w:rsidRPr="00E8608A" w:rsidRDefault="00A86753" w:rsidP="00F977A3">
            <w:r w:rsidRPr="00E8608A">
              <w:t>Appendix 2</w:t>
            </w:r>
          </w:p>
        </w:tc>
        <w:tc>
          <w:tcPr>
            <w:tcW w:w="6406" w:type="dxa"/>
            <w:tcBorders>
              <w:top w:val="nil"/>
              <w:left w:val="nil"/>
              <w:bottom w:val="single" w:sz="4" w:space="0" w:color="auto"/>
              <w:right w:val="single" w:sz="8" w:space="0" w:color="000000"/>
            </w:tcBorders>
            <w:shd w:val="clear" w:color="auto" w:fill="auto"/>
          </w:tcPr>
          <w:p w:rsidR="00A86753" w:rsidRPr="00E8608A" w:rsidRDefault="00E8608A" w:rsidP="00F977A3">
            <w:r>
              <w:t xml:space="preserve">Not for Publication - </w:t>
            </w:r>
            <w:r w:rsidRPr="00E8608A">
              <w:t>Confidential Document</w:t>
            </w:r>
          </w:p>
        </w:tc>
      </w:tr>
    </w:tbl>
    <w:p w:rsidR="00A86753" w:rsidRPr="009E51FC" w:rsidRDefault="00A86753" w:rsidP="004A6D2F"/>
    <w:p w:rsidR="0040736F" w:rsidRPr="001356F1" w:rsidRDefault="00F66DCA" w:rsidP="004A6D2F">
      <w:pPr>
        <w:pStyle w:val="Heading1"/>
      </w:pPr>
      <w:r w:rsidRPr="001356F1">
        <w:t>Introduction and b</w:t>
      </w:r>
      <w:r w:rsidR="00151888" w:rsidRPr="001356F1">
        <w:t>ackground</w:t>
      </w:r>
      <w:r w:rsidR="00404032" w:rsidRPr="001356F1">
        <w:t xml:space="preserve"> </w:t>
      </w:r>
    </w:p>
    <w:p w:rsidR="00E87F7A" w:rsidRDefault="001D790B" w:rsidP="005570B5">
      <w:pPr>
        <w:pStyle w:val="ListParagraph"/>
      </w:pPr>
      <w:r>
        <w:t>The City Executive Board approved a report in September 2011 which set out a framework for expanding income generation through service supply to public sector bodies and charging for discretionary services.</w:t>
      </w:r>
    </w:p>
    <w:p w:rsidR="001D790B" w:rsidRDefault="001D790B" w:rsidP="005570B5">
      <w:pPr>
        <w:pStyle w:val="ListParagraph"/>
      </w:pPr>
      <w:r>
        <w:t>The City Executive Board approved proposals to provide services to public sector bodies and to charge for the provision of discretionary services. Where the value</w:t>
      </w:r>
      <w:r w:rsidR="00BE4D8B">
        <w:t xml:space="preserve"> of the works</w:t>
      </w:r>
      <w:r>
        <w:t xml:space="preserve"> did not exceed £ 100,000 the decision </w:t>
      </w:r>
      <w:r w:rsidR="00BE4D8B">
        <w:t xml:space="preserve">to engage </w:t>
      </w:r>
      <w:r>
        <w:t>was delegated to officers.</w:t>
      </w:r>
    </w:p>
    <w:p w:rsidR="001D790B" w:rsidRPr="001356F1" w:rsidRDefault="00371E9C" w:rsidP="005570B5">
      <w:pPr>
        <w:pStyle w:val="ListParagraph"/>
      </w:pPr>
      <w:r>
        <w:lastRenderedPageBreak/>
        <w:t xml:space="preserve">This report seeks approval </w:t>
      </w:r>
      <w:r w:rsidR="001D790B">
        <w:t>to enter into co</w:t>
      </w:r>
      <w:r w:rsidR="00E1734B">
        <w:t>ntractual relations as Principal</w:t>
      </w:r>
      <w:r w:rsidR="001D790B">
        <w:t xml:space="preserve"> Contractor to provide certain engineering services, </w:t>
      </w:r>
      <w:r w:rsidR="00BE4D8B">
        <w:t xml:space="preserve">where </w:t>
      </w:r>
      <w:r w:rsidR="001D790B">
        <w:t xml:space="preserve">the potential </w:t>
      </w:r>
      <w:proofErr w:type="gramStart"/>
      <w:r w:rsidR="001D790B">
        <w:t>value of the services to be provided exceed</w:t>
      </w:r>
      <w:proofErr w:type="gramEnd"/>
      <w:r w:rsidR="001D790B">
        <w:t xml:space="preserve"> that figure.</w:t>
      </w:r>
    </w:p>
    <w:p w:rsidR="00633578" w:rsidRPr="001356F1" w:rsidRDefault="00E1734B" w:rsidP="00E87F7A">
      <w:pPr>
        <w:pStyle w:val="Heading1"/>
      </w:pPr>
      <w:r>
        <w:t>Proposal</w:t>
      </w:r>
    </w:p>
    <w:p w:rsidR="00E87F7A" w:rsidRPr="001356F1" w:rsidRDefault="00E87F7A" w:rsidP="005570B5">
      <w:pPr>
        <w:pStyle w:val="bParagraphtext"/>
        <w:rPr>
          <w:rStyle w:val="ListParagraphChar"/>
        </w:rPr>
      </w:pPr>
      <w:r w:rsidRPr="001356F1">
        <w:t>U</w:t>
      </w:r>
      <w:r w:rsidR="001D790B">
        <w:rPr>
          <w:rStyle w:val="ListParagraphChar"/>
        </w:rPr>
        <w:t>nder the terms of the proposed contract, Direct Services would provide appropriate labour, plant, materials, site supervision and management resource to undertake the civil engineering elements of a car park refurbishment and extension</w:t>
      </w:r>
      <w:r w:rsidR="00F61FD8">
        <w:rPr>
          <w:rStyle w:val="ListParagraphChar"/>
        </w:rPr>
        <w:t xml:space="preserve"> in Oxford</w:t>
      </w:r>
      <w:r w:rsidR="001D790B">
        <w:rPr>
          <w:rStyle w:val="ListParagraphChar"/>
        </w:rPr>
        <w:t>.</w:t>
      </w:r>
    </w:p>
    <w:p w:rsidR="00E87F7A" w:rsidRPr="001356F1" w:rsidRDefault="00A975EE" w:rsidP="005570B5">
      <w:pPr>
        <w:pStyle w:val="bParagraphtext"/>
      </w:pPr>
      <w:r>
        <w:t>A briefing for members on the commercial opportunities and risks is set out in the separate appendix attached, which is exempt from publication.</w:t>
      </w:r>
    </w:p>
    <w:p w:rsidR="00E87F7A" w:rsidRPr="001356F1" w:rsidRDefault="00371E9C" w:rsidP="005570B5">
      <w:pPr>
        <w:pStyle w:val="bParagraphtext"/>
      </w:pPr>
      <w:r>
        <w:t>This report seeks authority to enter into a contract to undertake this work</w:t>
      </w:r>
      <w:r w:rsidR="00A975EE">
        <w:t>.</w:t>
      </w:r>
    </w:p>
    <w:p w:rsidR="00E87F7A" w:rsidRPr="001356F1" w:rsidRDefault="00A975EE" w:rsidP="005570B5">
      <w:pPr>
        <w:pStyle w:val="bParagraphtext"/>
      </w:pPr>
      <w:r>
        <w:t>T</w:t>
      </w:r>
      <w:r w:rsidR="00E87F7A" w:rsidRPr="001356F1">
        <w:t>here are no alte</w:t>
      </w:r>
      <w:r w:rsidR="00BE4D8B">
        <w:t xml:space="preserve">rnatives to the proposed option other than not to enter </w:t>
      </w:r>
      <w:proofErr w:type="spellStart"/>
      <w:r w:rsidR="00BE4D8B">
        <w:t>intot</w:t>
      </w:r>
      <w:proofErr w:type="spellEnd"/>
      <w:r w:rsidR="00BE4D8B">
        <w:t xml:space="preserve"> he contract.</w:t>
      </w:r>
    </w:p>
    <w:p w:rsidR="0040736F" w:rsidRPr="001356F1" w:rsidRDefault="002329CF" w:rsidP="004A6D2F">
      <w:pPr>
        <w:pStyle w:val="Heading1"/>
      </w:pPr>
      <w:r w:rsidRPr="001356F1">
        <w:t>Financial implications</w:t>
      </w:r>
    </w:p>
    <w:p w:rsidR="00E87F7A" w:rsidRPr="001356F1" w:rsidRDefault="00371E9C" w:rsidP="005570B5">
      <w:pPr>
        <w:pStyle w:val="ListParagraph"/>
      </w:pPr>
      <w:r>
        <w:t>The price</w:t>
      </w:r>
      <w:r w:rsidR="00E8042C">
        <w:t xml:space="preserve"> for the work </w:t>
      </w:r>
      <w:r>
        <w:t>has been</w:t>
      </w:r>
      <w:r w:rsidR="00E8042C">
        <w:t xml:space="preserve"> calculated to provide a contribution to </w:t>
      </w:r>
      <w:r w:rsidR="00F61FD8">
        <w:t xml:space="preserve">local </w:t>
      </w:r>
      <w:r w:rsidR="00E8042C">
        <w:t>overheads as a minimum. The contribution will be monitored by the Council’s Trading and Development Board and reported to Members. Supply of these services would make a useful contribution to the income targets currently set in the Council’s Medium Term Financial Strategy</w:t>
      </w:r>
      <w:r w:rsidR="00862331">
        <w:t>.</w:t>
      </w:r>
    </w:p>
    <w:p w:rsidR="0040736F" w:rsidRPr="001356F1" w:rsidRDefault="00DA614B" w:rsidP="004A6D2F">
      <w:pPr>
        <w:pStyle w:val="Heading1"/>
      </w:pPr>
      <w:r w:rsidRPr="001356F1">
        <w:t>Legal issues</w:t>
      </w:r>
    </w:p>
    <w:p w:rsidR="006D60B7" w:rsidRDefault="006D60B7" w:rsidP="006D60B7">
      <w:pPr>
        <w:pStyle w:val="ListParagraph"/>
        <w:autoSpaceDE w:val="0"/>
        <w:autoSpaceDN w:val="0"/>
      </w:pPr>
      <w:r>
        <w:t>In entering into this proposed arrangement, the Council would be relying on the provisions of the Local Authorities (Goods &amp; Services) Act 1970. This contains a wide power that enables local authorities to enter into supply agreements with other local authorities or public bodies. Many Organisations qualify as public bodies under the Goods and Services Act, including Health Organisations, schools, housing associations and community organisations. Under this legislation there is no express requirement on the supplier to ensure that income equals expenditure, and many Authorities have made considerable use of these powers, securing economies of scale and reducing internal costs by providing services to each other. The power can be used for the purposes of:-</w:t>
      </w:r>
    </w:p>
    <w:p w:rsidR="008532E3" w:rsidRDefault="008532E3" w:rsidP="008532E3">
      <w:pPr>
        <w:autoSpaceDE w:val="0"/>
        <w:autoSpaceDN w:val="0"/>
        <w:ind w:left="360"/>
      </w:pPr>
      <w:r>
        <w:t>• Supplying goods or materials.</w:t>
      </w:r>
    </w:p>
    <w:p w:rsidR="008532E3" w:rsidRDefault="008532E3" w:rsidP="008532E3">
      <w:pPr>
        <w:autoSpaceDE w:val="0"/>
        <w:autoSpaceDN w:val="0"/>
        <w:ind w:left="360"/>
      </w:pPr>
      <w:r>
        <w:t xml:space="preserve">• Administrative professional </w:t>
      </w:r>
      <w:r w:rsidR="006D60B7">
        <w:t xml:space="preserve">or </w:t>
      </w:r>
      <w:r>
        <w:t>technical services.</w:t>
      </w:r>
    </w:p>
    <w:p w:rsidR="008532E3" w:rsidRDefault="008532E3" w:rsidP="008532E3">
      <w:pPr>
        <w:autoSpaceDE w:val="0"/>
        <w:autoSpaceDN w:val="0"/>
        <w:ind w:left="360"/>
      </w:pPr>
      <w:r>
        <w:t>• The use of vehicles plant or apparatus.</w:t>
      </w:r>
    </w:p>
    <w:p w:rsidR="008532E3" w:rsidRDefault="008532E3" w:rsidP="008532E3">
      <w:pPr>
        <w:autoSpaceDE w:val="0"/>
        <w:autoSpaceDN w:val="0"/>
        <w:ind w:left="360"/>
      </w:pPr>
      <w:r>
        <w:t>• Works of maintenance in connection with land or buildings.</w:t>
      </w:r>
    </w:p>
    <w:p w:rsidR="008532E3" w:rsidRDefault="008532E3" w:rsidP="008532E3">
      <w:pPr>
        <w:autoSpaceDE w:val="0"/>
        <w:autoSpaceDN w:val="0"/>
      </w:pPr>
      <w:r>
        <w:t>The body procuring the overall works is a public sector body.</w:t>
      </w:r>
    </w:p>
    <w:p w:rsidR="002329CF" w:rsidRPr="00E8608A" w:rsidRDefault="002329CF" w:rsidP="004A6D2F">
      <w:pPr>
        <w:pStyle w:val="Heading1"/>
      </w:pPr>
      <w:r w:rsidRPr="00E8608A">
        <w:t>Level of risk</w:t>
      </w:r>
    </w:p>
    <w:p w:rsidR="005F79FB" w:rsidRPr="00E8608A" w:rsidRDefault="00E1734B" w:rsidP="005570B5">
      <w:pPr>
        <w:pStyle w:val="ListParagraph"/>
      </w:pPr>
      <w:r w:rsidRPr="00E8608A">
        <w:t xml:space="preserve">A </w:t>
      </w:r>
      <w:r w:rsidR="00151888" w:rsidRPr="00E8608A">
        <w:t>R</w:t>
      </w:r>
      <w:r w:rsidR="002329CF" w:rsidRPr="00E8608A">
        <w:t xml:space="preserve">isk </w:t>
      </w:r>
      <w:r w:rsidR="00151888" w:rsidRPr="00E8608A">
        <w:t>R</w:t>
      </w:r>
      <w:r w:rsidR="0093067A" w:rsidRPr="00E8608A">
        <w:t>egister</w:t>
      </w:r>
      <w:r w:rsidR="002329CF" w:rsidRPr="00E8608A">
        <w:t xml:space="preserve"> </w:t>
      </w:r>
      <w:r w:rsidRPr="00E8608A">
        <w:t xml:space="preserve">is </w:t>
      </w:r>
      <w:r w:rsidR="005F79FB" w:rsidRPr="00E8608A">
        <w:t>attached as Appendix 1.</w:t>
      </w:r>
    </w:p>
    <w:p w:rsidR="00D15C7D" w:rsidRDefault="00D15C7D" w:rsidP="0050321C">
      <w:pPr>
        <w:pStyle w:val="Heading1"/>
      </w:pPr>
    </w:p>
    <w:p w:rsidR="002329CF" w:rsidRPr="001356F1" w:rsidRDefault="002329CF" w:rsidP="0050321C">
      <w:pPr>
        <w:pStyle w:val="Heading1"/>
      </w:pPr>
      <w:r w:rsidRPr="001356F1">
        <w:t xml:space="preserve">Equalities impact </w:t>
      </w:r>
    </w:p>
    <w:p w:rsidR="002329CF" w:rsidRPr="001356F1" w:rsidRDefault="00E1734B" w:rsidP="005570B5">
      <w:pPr>
        <w:pStyle w:val="ListParagraph"/>
      </w:pPr>
      <w:r>
        <w:lastRenderedPageBreak/>
        <w:t>All relevant Council policies such as the Oxford Living Wage and Apprenticeships will be applied to the delivery of these services and will be costed into the proposal.</w:t>
      </w:r>
    </w:p>
    <w:p w:rsidR="00E87F7A" w:rsidRPr="001356F1" w:rsidRDefault="00E87F7A" w:rsidP="00E87F7A">
      <w:pPr>
        <w:pStyle w:val="Heading1"/>
      </w:pPr>
      <w:r w:rsidRPr="001356F1">
        <w:t>Conclusion</w:t>
      </w:r>
    </w:p>
    <w:p w:rsidR="00E206D6" w:rsidRPr="001356F1" w:rsidRDefault="00E8042C" w:rsidP="00E206D6">
      <w:pPr>
        <w:pStyle w:val="ListParagraph"/>
      </w:pPr>
      <w:r>
        <w:t>The delivery of th</w:t>
      </w:r>
      <w:r w:rsidR="006D60B7">
        <w:t xml:space="preserve">e proposed </w:t>
      </w:r>
      <w:r>
        <w:t>contract would bring both an income opportunity and some limited amount of risk. The Council’s approach is to balance this by seeking to achieve an appropriate contribution to overheads and ensuring that sufficient resources are deployed to mitigate risks.</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576693" w:rsidP="00A46E98">
            <w:r>
              <w:t>Shaun Hatton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576693" w:rsidP="00A46E98">
            <w:r>
              <w:t>Highways and Engineering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576693" w:rsidP="00A46E98">
            <w:r>
              <w:t>Direct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576693" w:rsidP="00A46E98">
            <w:r>
              <w:t>01865 252927</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576693" w:rsidP="00A46E98">
            <w:pPr>
              <w:rPr>
                <w:rStyle w:val="Hyperlink"/>
                <w:color w:val="000000"/>
              </w:rPr>
            </w:pPr>
            <w:r>
              <w:rPr>
                <w:rStyle w:val="Hyperlink"/>
                <w:color w:val="000000"/>
              </w:rPr>
              <w:t>shatton@oxford.gov.uk</w:t>
            </w:r>
          </w:p>
        </w:tc>
      </w:tr>
    </w:tbl>
    <w:p w:rsidR="00CE4C87" w:rsidRDefault="00CE4C87" w:rsidP="0093067A">
      <w:bookmarkStart w:id="0" w:name="_GoBack"/>
      <w:bookmarkEnd w:id="0"/>
    </w:p>
    <w:sectPr w:rsidR="00CE4C87"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A56" w:rsidRDefault="00455A56" w:rsidP="004A6D2F">
      <w:r>
        <w:separator/>
      </w:r>
    </w:p>
  </w:endnote>
  <w:endnote w:type="continuationSeparator" w:id="0">
    <w:p w:rsidR="00455A56" w:rsidRDefault="00455A56"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5EE" w:rsidRDefault="00A975EE" w:rsidP="004A6D2F">
    <w:pPr>
      <w:pStyle w:val="Footer"/>
    </w:pPr>
    <w:r>
      <w:t>Do not use a footer or page numbers.</w:t>
    </w:r>
  </w:p>
  <w:p w:rsidR="00A975EE" w:rsidRDefault="00A975EE" w:rsidP="004A6D2F">
    <w:pPr>
      <w:pStyle w:val="Footer"/>
    </w:pPr>
  </w:p>
  <w:p w:rsidR="00A975EE" w:rsidRDefault="00A975EE"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5EE" w:rsidRDefault="00A975EE"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A56" w:rsidRDefault="00455A56" w:rsidP="004A6D2F">
      <w:r>
        <w:separator/>
      </w:r>
    </w:p>
  </w:footnote>
  <w:footnote w:type="continuationSeparator" w:id="0">
    <w:p w:rsidR="00455A56" w:rsidRDefault="00455A56"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5EE" w:rsidRDefault="00455A56" w:rsidP="00D5547E">
    <w:pPr>
      <w:pStyle w:val="Header"/>
      <w:jc w:val="right"/>
    </w:pPr>
    <w:r>
      <w:rPr>
        <w:noProof/>
      </w:rPr>
      <w:drawing>
        <wp:inline distT="0" distB="0" distL="0" distR="0" wp14:anchorId="019EB234" wp14:editId="402714CF">
          <wp:extent cx="841375" cy="1116965"/>
          <wp:effectExtent l="0" t="0" r="0" b="698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BA5FD8"/>
    <w:multiLevelType w:val="multilevel"/>
    <w:tmpl w:val="43D6D2FA"/>
    <w:numStyleLink w:val="StyleBulletedSymbolsymbolLeft063cmHanging063cm"/>
  </w:abstractNum>
  <w:abstractNum w:abstractNumId="2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A22831"/>
    <w:multiLevelType w:val="multilevel"/>
    <w:tmpl w:val="43D6D2FA"/>
    <w:numStyleLink w:val="StyleBulletedSymbolsymbolLeft063cmHanging063cm"/>
  </w:abstractNum>
  <w:abstractNum w:abstractNumId="2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69D28C9"/>
    <w:multiLevelType w:val="hybridMultilevel"/>
    <w:tmpl w:val="A37413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98365C6"/>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3"/>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A56"/>
    <w:rsid w:val="000117D4"/>
    <w:rsid w:val="000314D7"/>
    <w:rsid w:val="00045F8B"/>
    <w:rsid w:val="00046D2B"/>
    <w:rsid w:val="00047AEE"/>
    <w:rsid w:val="00056263"/>
    <w:rsid w:val="00064D8A"/>
    <w:rsid w:val="00064F82"/>
    <w:rsid w:val="00066510"/>
    <w:rsid w:val="00077523"/>
    <w:rsid w:val="0009717E"/>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D790B"/>
    <w:rsid w:val="001E03F8"/>
    <w:rsid w:val="001E1678"/>
    <w:rsid w:val="001E3376"/>
    <w:rsid w:val="001F0BC0"/>
    <w:rsid w:val="002069B3"/>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54A8A"/>
    <w:rsid w:val="00364FAD"/>
    <w:rsid w:val="0036738F"/>
    <w:rsid w:val="0036759C"/>
    <w:rsid w:val="00367AE5"/>
    <w:rsid w:val="00367D71"/>
    <w:rsid w:val="00371E9C"/>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55A56"/>
    <w:rsid w:val="00462AB5"/>
    <w:rsid w:val="00463426"/>
    <w:rsid w:val="00465EAF"/>
    <w:rsid w:val="004738C5"/>
    <w:rsid w:val="00491046"/>
    <w:rsid w:val="004A2AC7"/>
    <w:rsid w:val="004A6D2F"/>
    <w:rsid w:val="004C2887"/>
    <w:rsid w:val="004D2626"/>
    <w:rsid w:val="004D6E26"/>
    <w:rsid w:val="004D77D3"/>
    <w:rsid w:val="004E2959"/>
    <w:rsid w:val="004F20EF"/>
    <w:rsid w:val="0050321C"/>
    <w:rsid w:val="0054712D"/>
    <w:rsid w:val="00547EF6"/>
    <w:rsid w:val="005570B5"/>
    <w:rsid w:val="00567E18"/>
    <w:rsid w:val="00575F5F"/>
    <w:rsid w:val="00576693"/>
    <w:rsid w:val="00581805"/>
    <w:rsid w:val="00585F76"/>
    <w:rsid w:val="005A34E4"/>
    <w:rsid w:val="005B17F2"/>
    <w:rsid w:val="005B7FB0"/>
    <w:rsid w:val="005C35A5"/>
    <w:rsid w:val="005C577C"/>
    <w:rsid w:val="005D0621"/>
    <w:rsid w:val="005D1E27"/>
    <w:rsid w:val="005D2A3E"/>
    <w:rsid w:val="005E022E"/>
    <w:rsid w:val="005E5215"/>
    <w:rsid w:val="005F79FB"/>
    <w:rsid w:val="005F7F7E"/>
    <w:rsid w:val="00614693"/>
    <w:rsid w:val="00623C2F"/>
    <w:rsid w:val="00633578"/>
    <w:rsid w:val="00637068"/>
    <w:rsid w:val="00650811"/>
    <w:rsid w:val="00661D3E"/>
    <w:rsid w:val="0066551D"/>
    <w:rsid w:val="00692627"/>
    <w:rsid w:val="006969E7"/>
    <w:rsid w:val="006A3643"/>
    <w:rsid w:val="006C2A29"/>
    <w:rsid w:val="006C64CF"/>
    <w:rsid w:val="006D17B1"/>
    <w:rsid w:val="006D4752"/>
    <w:rsid w:val="006D60B7"/>
    <w:rsid w:val="006D708A"/>
    <w:rsid w:val="006E14C1"/>
    <w:rsid w:val="006F0292"/>
    <w:rsid w:val="006F27FA"/>
    <w:rsid w:val="006F416B"/>
    <w:rsid w:val="006F519B"/>
    <w:rsid w:val="00713675"/>
    <w:rsid w:val="00715823"/>
    <w:rsid w:val="00737B93"/>
    <w:rsid w:val="00745BF0"/>
    <w:rsid w:val="007615FE"/>
    <w:rsid w:val="0076655C"/>
    <w:rsid w:val="007742DC"/>
    <w:rsid w:val="00781F07"/>
    <w:rsid w:val="00791437"/>
    <w:rsid w:val="007B0C2C"/>
    <w:rsid w:val="007B278E"/>
    <w:rsid w:val="007C5C23"/>
    <w:rsid w:val="007E2A26"/>
    <w:rsid w:val="007F2348"/>
    <w:rsid w:val="00803F07"/>
    <w:rsid w:val="0080749A"/>
    <w:rsid w:val="00821FB8"/>
    <w:rsid w:val="00822ACD"/>
    <w:rsid w:val="008322C7"/>
    <w:rsid w:val="008532E3"/>
    <w:rsid w:val="00855C66"/>
    <w:rsid w:val="00862331"/>
    <w:rsid w:val="00871EE4"/>
    <w:rsid w:val="008B293F"/>
    <w:rsid w:val="008B7371"/>
    <w:rsid w:val="008D3DDB"/>
    <w:rsid w:val="008F573F"/>
    <w:rsid w:val="009034EC"/>
    <w:rsid w:val="0093067A"/>
    <w:rsid w:val="00941C60"/>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6E98"/>
    <w:rsid w:val="00A6352B"/>
    <w:rsid w:val="00A701B5"/>
    <w:rsid w:val="00A714BB"/>
    <w:rsid w:val="00A86753"/>
    <w:rsid w:val="00A92D8F"/>
    <w:rsid w:val="00A975EE"/>
    <w:rsid w:val="00AB2988"/>
    <w:rsid w:val="00AB7999"/>
    <w:rsid w:val="00AD3292"/>
    <w:rsid w:val="00AE7AF0"/>
    <w:rsid w:val="00B500CA"/>
    <w:rsid w:val="00B86314"/>
    <w:rsid w:val="00BA1C2E"/>
    <w:rsid w:val="00BC200B"/>
    <w:rsid w:val="00BC4756"/>
    <w:rsid w:val="00BC69A4"/>
    <w:rsid w:val="00BE0680"/>
    <w:rsid w:val="00BE305F"/>
    <w:rsid w:val="00BE4D8B"/>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5C7D"/>
    <w:rsid w:val="00D160B0"/>
    <w:rsid w:val="00D17F94"/>
    <w:rsid w:val="00D223FC"/>
    <w:rsid w:val="00D26D1E"/>
    <w:rsid w:val="00D41A8A"/>
    <w:rsid w:val="00D474CF"/>
    <w:rsid w:val="00D5547E"/>
    <w:rsid w:val="00D869A1"/>
    <w:rsid w:val="00DA413F"/>
    <w:rsid w:val="00DA4584"/>
    <w:rsid w:val="00DA614B"/>
    <w:rsid w:val="00DC3060"/>
    <w:rsid w:val="00DE0FB2"/>
    <w:rsid w:val="00DF093E"/>
    <w:rsid w:val="00E01F42"/>
    <w:rsid w:val="00E1734B"/>
    <w:rsid w:val="00E206D6"/>
    <w:rsid w:val="00E3366E"/>
    <w:rsid w:val="00E52086"/>
    <w:rsid w:val="00E543A6"/>
    <w:rsid w:val="00E60479"/>
    <w:rsid w:val="00E61D73"/>
    <w:rsid w:val="00E73684"/>
    <w:rsid w:val="00E74165"/>
    <w:rsid w:val="00E8042C"/>
    <w:rsid w:val="00E818D6"/>
    <w:rsid w:val="00E8608A"/>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1FD8"/>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83436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25341-419A-4ED0-BFEF-64E2AD002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claire.price</dc:creator>
  <cp:lastModifiedBy>PHYTHIAN Catherine</cp:lastModifiedBy>
  <cp:revision>2</cp:revision>
  <cp:lastPrinted>2016-03-14T09:48:00Z</cp:lastPrinted>
  <dcterms:created xsi:type="dcterms:W3CDTF">2016-03-16T15:09:00Z</dcterms:created>
  <dcterms:modified xsi:type="dcterms:W3CDTF">2016-03-16T15:09:00Z</dcterms:modified>
</cp:coreProperties>
</file>